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F" w:rsidRDefault="00A5629F">
      <w:r>
        <w:t>Pitanja-Ugovori privrednog prava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Pojam i vrste ugovora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Jednostranoobavezni i dvostrano obavezni ugovori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Teretni i dobročini ugovori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Komutativni i aleatorni ugovori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Predugovor i glavni ugovor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Kolektivni i individualni ugovori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Ponuda i prihvat ponude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Forma ugovora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Stvarna sredstva za obezbjeđenje ugovora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Lična sredstva za obezbjeđenje ugovora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Kapara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Ugovorna kazna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Odustanica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Pojam ugovora u privredi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Specifičnosti ugovora u privredi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Formularni ugovori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Ponuda za zaključenje ugovora-pojam i elementi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Prihvat ponude-pojam i elementi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Za</w:t>
      </w:r>
      <w:r>
        <w:t>k</w:t>
      </w:r>
      <w:r>
        <w:t>ljljučenje ugovora-vrijeme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Zaključenje ugovora-mjesto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Jemstvo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Zaloga i pravo pridržaja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Sredstva obezbjeđenja ugovora u privredi-pojam i vrste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Načini promjene ugovora u privredi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Prestanak ugovora u privredi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Pojam i obilježja ugovora o prodaji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Elementi ugovora o prodaji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Bitni sastojci ugovora o prodaji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Odgovornost za propast i oštećenje robe kod ugovora o prodaji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Cijena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Načini i mjesto isporuke robe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Odgovornost prodavca za materijalne nedostatke robe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Zaštita od evikcije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Prava i obaveze kupca</w:t>
      </w:r>
    </w:p>
    <w:p w:rsidR="00A5629F" w:rsidRDefault="00A5629F" w:rsidP="00A5629F">
      <w:pPr>
        <w:pStyle w:val="ListParagraph"/>
        <w:numPr>
          <w:ilvl w:val="0"/>
          <w:numId w:val="1"/>
        </w:numPr>
      </w:pPr>
      <w:r>
        <w:t>Navedite modalitete ugovora o prodaji</w:t>
      </w:r>
    </w:p>
    <w:p w:rsidR="00A5629F" w:rsidRDefault="00F43522" w:rsidP="00A5629F">
      <w:pPr>
        <w:pStyle w:val="ListParagraph"/>
        <w:numPr>
          <w:ilvl w:val="0"/>
          <w:numId w:val="1"/>
        </w:numPr>
      </w:pPr>
      <w:r>
        <w:t>Prodaja po modelu ili uzorku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Prodaja/kupovina radi pokrića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prodajnom nalogu-pojam i obilježja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Pravno dejstvo ugovora o prodajnom nalogu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Pojam i vrste trgovinskog zastupanja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Trgovinsko zastupanje-obaveze zastupnika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Trgovinsko zastupanje-obaveze nalogodavca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Prestanak ugovora o trgovinskom zastupanju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lastRenderedPageBreak/>
        <w:t>Pojam i vrste ugovora o komisionu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Obaveze komisionara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Obaveze komitenta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posredovanju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Objasnite razliku između posredovanja i zastupanja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Prava i obaveze posrednika i nalogodavca kod ugovora o posredovanju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uskladištenju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Obaveze skladištara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Obaveze ostavodavca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špediciji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Prava i obaveze špeditera i nalogodavca kod ugovora o špediciji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Pojam i vrste ugovora o prevozu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Pojam i vrste ugovora o licenci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Pojam i vrste ugovora o turističkim uslugama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faktoringu-pojam i obilježja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Vrste faktoring poslova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Navedite prava i obaveze ustupioca i faktora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Ugovor o forfetingu-pojam i obilježja</w:t>
      </w:r>
    </w:p>
    <w:p w:rsidR="00F43522" w:rsidRDefault="00F43522" w:rsidP="00A5629F">
      <w:pPr>
        <w:pStyle w:val="ListParagraph"/>
        <w:numPr>
          <w:ilvl w:val="0"/>
          <w:numId w:val="1"/>
        </w:numPr>
      </w:pPr>
      <w:r>
        <w:t>Pojam i vrste ugovora o lizingu</w:t>
      </w:r>
      <w:bookmarkStart w:id="0" w:name="_GoBack"/>
      <w:bookmarkEnd w:id="0"/>
    </w:p>
    <w:sectPr w:rsidR="00F4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572"/>
    <w:multiLevelType w:val="hybridMultilevel"/>
    <w:tmpl w:val="CE3C8E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F"/>
    <w:rsid w:val="002555F6"/>
    <w:rsid w:val="00A5629F"/>
    <w:rsid w:val="00E56B79"/>
    <w:rsid w:val="00F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2019-06-05T15:08:00Z</dcterms:created>
  <dcterms:modified xsi:type="dcterms:W3CDTF">2019-06-05T15:27:00Z</dcterms:modified>
</cp:coreProperties>
</file>